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tblLook w:val="04A0" w:firstRow="1" w:lastRow="0" w:firstColumn="1" w:lastColumn="0" w:noHBand="0" w:noVBand="1"/>
      </w:tblPr>
      <w:tblGrid>
        <w:gridCol w:w="3704"/>
        <w:gridCol w:w="6185"/>
      </w:tblGrid>
      <w:tr w:rsidR="00502C60" w:rsidRPr="000653F9" w:rsidTr="00FE4003">
        <w:trPr>
          <w:trHeight w:val="1374"/>
        </w:trPr>
        <w:tc>
          <w:tcPr>
            <w:tcW w:w="3704" w:type="dxa"/>
            <w:shd w:val="clear" w:color="auto" w:fill="auto"/>
          </w:tcPr>
          <w:p w:rsidR="00502C60" w:rsidRPr="000653F9" w:rsidRDefault="00502C60" w:rsidP="00FE4003">
            <w:pPr>
              <w:rPr>
                <w:rFonts w:ascii="Lato" w:hAnsi="Lato"/>
                <w:b/>
                <w:noProof/>
              </w:rPr>
            </w:pPr>
            <w:r>
              <w:object w:dxaOrig="8640" w:dyaOrig="7200">
                <v:shape id="_x0000_i1026" type="#_x0000_t75" style="width:68.85pt;height:59.5pt" o:ole="">
                  <v:imagedata r:id="rId7" o:title=""/>
                </v:shape>
                <o:OLEObject Type="Embed" ProgID="Unknown" ShapeID="_x0000_i1026" DrawAspect="Content" ObjectID="_1811943258" r:id="rId8"/>
              </w:object>
            </w:r>
          </w:p>
        </w:tc>
        <w:tc>
          <w:tcPr>
            <w:tcW w:w="6185" w:type="dxa"/>
            <w:shd w:val="clear" w:color="auto" w:fill="auto"/>
          </w:tcPr>
          <w:p w:rsidR="00502C60" w:rsidRPr="000653F9" w:rsidRDefault="00502C60" w:rsidP="00FE4003">
            <w:pPr>
              <w:jc w:val="right"/>
              <w:rPr>
                <w:rFonts w:ascii="Lato" w:hAnsi="Lato"/>
                <w:b/>
                <w:noProof/>
              </w:rPr>
            </w:pPr>
            <w:r>
              <w:object w:dxaOrig="17280" w:dyaOrig="7200">
                <v:shape id="_x0000_i1027" type="#_x0000_t75" style="width:120.85pt;height:51.35pt" o:ole="">
                  <v:imagedata r:id="rId9" o:title=""/>
                </v:shape>
                <o:OLEObject Type="Embed" ProgID="Unknown" ShapeID="_x0000_i1027" DrawAspect="Content" ObjectID="_1811943259" r:id="rId10"/>
              </w:object>
            </w:r>
          </w:p>
        </w:tc>
      </w:tr>
    </w:tbl>
    <w:p w:rsidR="00595705" w:rsidRDefault="00595705" w:rsidP="003D29F4">
      <w:pPr>
        <w:ind w:firstLine="540"/>
        <w:rPr>
          <w:rFonts w:ascii="Trebuchet MS" w:hAnsi="Trebuchet MS" w:cs="Arial"/>
          <w:color w:val="548DD4" w:themeColor="text2" w:themeTint="99"/>
          <w:sz w:val="36"/>
          <w:szCs w:val="36"/>
        </w:rPr>
      </w:pPr>
    </w:p>
    <w:p w:rsidR="003D29F4" w:rsidRDefault="003D29F4" w:rsidP="003D29F4">
      <w:pPr>
        <w:ind w:firstLine="540"/>
        <w:rPr>
          <w:rFonts w:ascii="Trebuchet MS" w:hAnsi="Trebuchet MS" w:cs="Arial"/>
          <w:color w:val="548DD4" w:themeColor="text2" w:themeTint="99"/>
          <w:sz w:val="36"/>
          <w:szCs w:val="36"/>
        </w:rPr>
      </w:pPr>
    </w:p>
    <w:p w:rsidR="0071053B" w:rsidRPr="0071053B" w:rsidRDefault="0071053B" w:rsidP="0071053B">
      <w:pPr>
        <w:ind w:firstLine="540"/>
        <w:jc w:val="center"/>
        <w:rPr>
          <w:rFonts w:ascii="Trebuchet MS" w:hAnsi="Trebuchet MS" w:cs="Arial"/>
          <w:color w:val="548DD4" w:themeColor="text2" w:themeTint="99"/>
          <w:sz w:val="36"/>
          <w:szCs w:val="36"/>
        </w:rPr>
      </w:pPr>
      <w:r w:rsidRPr="0071053B">
        <w:rPr>
          <w:rFonts w:ascii="Trebuchet MS" w:hAnsi="Trebuchet MS" w:cs="Arial"/>
          <w:color w:val="548DD4" w:themeColor="text2" w:themeTint="99"/>
          <w:sz w:val="36"/>
          <w:szCs w:val="36"/>
        </w:rPr>
        <w:t>COMPTE EPARGNE TEMPS</w:t>
      </w:r>
    </w:p>
    <w:p w:rsidR="00595705" w:rsidRDefault="00595705" w:rsidP="0071053B">
      <w:pPr>
        <w:ind w:firstLine="540"/>
        <w:jc w:val="both"/>
        <w:rPr>
          <w:rFonts w:ascii="Trebuchet MS" w:hAnsi="Trebuchet MS" w:cs="Arial"/>
          <w:sz w:val="20"/>
          <w:szCs w:val="20"/>
        </w:rPr>
      </w:pPr>
    </w:p>
    <w:p w:rsidR="0071053B" w:rsidRPr="0071053B" w:rsidRDefault="0071053B" w:rsidP="0071053B">
      <w:pPr>
        <w:ind w:firstLine="540"/>
        <w:jc w:val="both"/>
        <w:rPr>
          <w:rFonts w:ascii="Trebuchet MS" w:hAnsi="Trebuchet MS" w:cs="Arial"/>
          <w:sz w:val="20"/>
          <w:szCs w:val="20"/>
        </w:rPr>
      </w:pPr>
    </w:p>
    <w:p w:rsidR="0071053B" w:rsidRPr="0071053B" w:rsidRDefault="0071053B" w:rsidP="0071053B">
      <w:pPr>
        <w:ind w:firstLine="540"/>
        <w:jc w:val="both"/>
        <w:rPr>
          <w:rFonts w:ascii="Trebuchet MS" w:hAnsi="Trebuchet MS" w:cs="Arial"/>
          <w:sz w:val="20"/>
          <w:szCs w:val="20"/>
        </w:rPr>
      </w:pPr>
      <w:r w:rsidRPr="0071053B">
        <w:rPr>
          <w:rFonts w:ascii="Trebuchet MS" w:hAnsi="Trebuchet MS" w:cs="Arial"/>
          <w:sz w:val="20"/>
          <w:szCs w:val="20"/>
        </w:rPr>
        <w:t>Le compte épargne-temps (CET) a été institué dans la fonction publique de l’Etat en 2002. Il permet, aux agents qui le souhaitent de capitaliser des jours non pris de congés annuels ou de réduction du temps de travail</w:t>
      </w:r>
      <w:r w:rsidR="001579DB">
        <w:rPr>
          <w:rFonts w:ascii="Trebuchet MS" w:hAnsi="Trebuchet MS" w:cs="Arial"/>
          <w:sz w:val="20"/>
          <w:szCs w:val="20"/>
        </w:rPr>
        <w:t xml:space="preserve"> (RTT)</w:t>
      </w:r>
      <w:r w:rsidRPr="0071053B">
        <w:rPr>
          <w:rFonts w:ascii="Trebuchet MS" w:hAnsi="Trebuchet MS" w:cs="Arial"/>
          <w:sz w:val="20"/>
          <w:szCs w:val="20"/>
        </w:rPr>
        <w:t xml:space="preserve">. </w:t>
      </w:r>
    </w:p>
    <w:p w:rsidR="0071053B" w:rsidRPr="0071053B" w:rsidRDefault="0071053B" w:rsidP="0071053B">
      <w:pPr>
        <w:ind w:firstLine="540"/>
        <w:jc w:val="both"/>
        <w:rPr>
          <w:rFonts w:ascii="Trebuchet MS" w:hAnsi="Trebuchet MS" w:cs="Arial"/>
          <w:sz w:val="20"/>
          <w:szCs w:val="20"/>
        </w:rPr>
      </w:pPr>
    </w:p>
    <w:p w:rsidR="00F06F6B" w:rsidRPr="00F06F6B" w:rsidRDefault="0071053B" w:rsidP="00F06F6B">
      <w:pPr>
        <w:jc w:val="both"/>
        <w:rPr>
          <w:rFonts w:ascii="Trebuchet MS" w:hAnsi="Trebuchet MS" w:cs="Arial"/>
          <w:sz w:val="20"/>
          <w:szCs w:val="20"/>
        </w:rPr>
      </w:pPr>
      <w:r w:rsidRPr="0071053B">
        <w:rPr>
          <w:rFonts w:ascii="Trebuchet MS" w:hAnsi="Trebuchet MS" w:cs="Arial"/>
          <w:sz w:val="20"/>
          <w:szCs w:val="20"/>
        </w:rPr>
        <w:t xml:space="preserve">        </w:t>
      </w:r>
    </w:p>
    <w:p w:rsidR="00F06F6B" w:rsidRPr="00F06F6B" w:rsidRDefault="00F06F6B" w:rsidP="00F06F6B">
      <w:pPr>
        <w:pStyle w:val="Paragraphedeliste"/>
        <w:numPr>
          <w:ilvl w:val="0"/>
          <w:numId w:val="18"/>
        </w:numPr>
        <w:jc w:val="both"/>
        <w:rPr>
          <w:rFonts w:ascii="Trebuchet MS" w:hAnsi="Trebuchet MS" w:cs="Arial"/>
          <w:sz w:val="20"/>
          <w:szCs w:val="20"/>
        </w:rPr>
      </w:pPr>
      <w:r w:rsidRPr="00F06F6B">
        <w:rPr>
          <w:rFonts w:ascii="Trebuchet MS" w:hAnsi="Trebuchet MS" w:cs="Arial"/>
          <w:sz w:val="20"/>
          <w:szCs w:val="20"/>
        </w:rPr>
        <w:t>Les bénéficiaires</w:t>
      </w:r>
    </w:p>
    <w:p w:rsidR="00F06F6B" w:rsidRPr="00F06F6B" w:rsidRDefault="00F06F6B" w:rsidP="00F06F6B">
      <w:pPr>
        <w:pStyle w:val="Paragraphedeliste"/>
        <w:ind w:left="1080"/>
        <w:jc w:val="both"/>
        <w:rPr>
          <w:rFonts w:ascii="Trebuchet MS" w:hAnsi="Trebuchet MS" w:cs="Arial"/>
          <w:sz w:val="20"/>
          <w:szCs w:val="20"/>
        </w:rPr>
      </w:pPr>
    </w:p>
    <w:p w:rsidR="00F06F6B" w:rsidRPr="00F06F6B" w:rsidRDefault="00F06F6B" w:rsidP="00F06F6B">
      <w:pPr>
        <w:jc w:val="both"/>
        <w:rPr>
          <w:rFonts w:ascii="Trebuchet MS" w:hAnsi="Trebuchet MS" w:cs="Arial"/>
          <w:sz w:val="20"/>
          <w:szCs w:val="20"/>
        </w:rPr>
      </w:pPr>
      <w:r w:rsidRPr="00F06F6B">
        <w:rPr>
          <w:rFonts w:ascii="Trebuchet MS" w:hAnsi="Trebuchet MS" w:cs="Arial"/>
          <w:sz w:val="20"/>
          <w:szCs w:val="20"/>
        </w:rPr>
        <w:t>Les agents du MNE peuvent demander l’ouverture d’un CET, dès lors qu’ils ont accompli au moins une</w:t>
      </w:r>
    </w:p>
    <w:p w:rsidR="00F06F6B" w:rsidRDefault="00F06F6B" w:rsidP="00F06F6B">
      <w:pPr>
        <w:jc w:val="both"/>
        <w:rPr>
          <w:rFonts w:ascii="Trebuchet MS" w:hAnsi="Trebuchet MS" w:cs="Arial"/>
          <w:sz w:val="20"/>
          <w:szCs w:val="20"/>
        </w:rPr>
      </w:pPr>
      <w:proofErr w:type="gramStart"/>
      <w:r w:rsidRPr="00F06F6B">
        <w:rPr>
          <w:rFonts w:ascii="Trebuchet MS" w:hAnsi="Trebuchet MS" w:cs="Arial"/>
          <w:sz w:val="20"/>
          <w:szCs w:val="20"/>
        </w:rPr>
        <w:t>année</w:t>
      </w:r>
      <w:proofErr w:type="gramEnd"/>
      <w:r w:rsidRPr="00F06F6B">
        <w:rPr>
          <w:rFonts w:ascii="Trebuchet MS" w:hAnsi="Trebuchet MS" w:cs="Arial"/>
          <w:sz w:val="20"/>
          <w:szCs w:val="20"/>
        </w:rPr>
        <w:t xml:space="preserve"> de service public de manière continue au moment de leur demande.</w:t>
      </w:r>
    </w:p>
    <w:p w:rsidR="00F06F6B" w:rsidRDefault="00F06F6B" w:rsidP="00F06F6B">
      <w:pPr>
        <w:jc w:val="both"/>
        <w:rPr>
          <w:rFonts w:ascii="Trebuchet MS" w:hAnsi="Trebuchet MS" w:cs="Arial"/>
          <w:sz w:val="20"/>
          <w:szCs w:val="20"/>
        </w:rPr>
      </w:pPr>
    </w:p>
    <w:p w:rsidR="00F06F6B" w:rsidRPr="00F06F6B" w:rsidRDefault="00F06F6B" w:rsidP="00F06F6B">
      <w:pPr>
        <w:jc w:val="both"/>
        <w:rPr>
          <w:rFonts w:ascii="Trebuchet MS" w:hAnsi="Trebuchet MS" w:cs="Arial"/>
          <w:sz w:val="20"/>
          <w:szCs w:val="20"/>
        </w:rPr>
      </w:pPr>
    </w:p>
    <w:p w:rsidR="00F06F6B" w:rsidRDefault="00F06F6B" w:rsidP="00F06F6B">
      <w:pPr>
        <w:pStyle w:val="Paragraphedeliste"/>
        <w:numPr>
          <w:ilvl w:val="0"/>
          <w:numId w:val="18"/>
        </w:numPr>
        <w:jc w:val="both"/>
        <w:rPr>
          <w:rFonts w:ascii="Trebuchet MS" w:hAnsi="Trebuchet MS" w:cs="Arial"/>
          <w:sz w:val="20"/>
          <w:szCs w:val="20"/>
        </w:rPr>
      </w:pPr>
      <w:r w:rsidRPr="00F06F6B">
        <w:rPr>
          <w:rFonts w:ascii="Trebuchet MS" w:hAnsi="Trebuchet MS" w:cs="Arial"/>
          <w:sz w:val="20"/>
          <w:szCs w:val="20"/>
        </w:rPr>
        <w:t>L’ouverture du CET</w:t>
      </w:r>
    </w:p>
    <w:p w:rsidR="00F06F6B" w:rsidRPr="00F06F6B" w:rsidRDefault="00F06F6B" w:rsidP="00F06F6B">
      <w:pPr>
        <w:pStyle w:val="Paragraphedeliste"/>
        <w:ind w:left="1080"/>
        <w:jc w:val="both"/>
        <w:rPr>
          <w:rFonts w:ascii="Trebuchet MS" w:hAnsi="Trebuchet MS" w:cs="Arial"/>
          <w:sz w:val="20"/>
          <w:szCs w:val="20"/>
        </w:rPr>
      </w:pPr>
    </w:p>
    <w:p w:rsidR="00F06F6B" w:rsidRPr="00F06F6B" w:rsidRDefault="00F06F6B" w:rsidP="00F06F6B">
      <w:pPr>
        <w:pStyle w:val="Paragraphedeliste"/>
        <w:ind w:left="1080"/>
        <w:jc w:val="both"/>
        <w:rPr>
          <w:rFonts w:ascii="Trebuchet MS" w:hAnsi="Trebuchet MS" w:cs="Arial"/>
          <w:sz w:val="20"/>
          <w:szCs w:val="20"/>
        </w:rPr>
      </w:pPr>
    </w:p>
    <w:p w:rsidR="00F06F6B" w:rsidRPr="00F06F6B" w:rsidRDefault="00F06F6B" w:rsidP="00F06F6B">
      <w:pPr>
        <w:jc w:val="both"/>
        <w:rPr>
          <w:rFonts w:ascii="Trebuchet MS" w:hAnsi="Trebuchet MS" w:cs="Arial"/>
          <w:sz w:val="20"/>
          <w:szCs w:val="20"/>
        </w:rPr>
      </w:pPr>
      <w:r w:rsidRPr="00F06F6B">
        <w:rPr>
          <w:rFonts w:ascii="Trebuchet MS" w:hAnsi="Trebuchet MS" w:cs="Arial"/>
          <w:sz w:val="20"/>
          <w:szCs w:val="20"/>
        </w:rPr>
        <w:t>Elle se fait à la demande expresse de l’agent auprès du service Administration et finances via le logiciel de gestion des congés.</w:t>
      </w:r>
    </w:p>
    <w:p w:rsidR="00F06F6B" w:rsidRDefault="00F06F6B" w:rsidP="00F06F6B">
      <w:pPr>
        <w:jc w:val="both"/>
        <w:rPr>
          <w:rFonts w:ascii="Trebuchet MS" w:hAnsi="Trebuchet MS" w:cs="Arial"/>
          <w:sz w:val="20"/>
          <w:szCs w:val="20"/>
        </w:rPr>
      </w:pPr>
      <w:r w:rsidRPr="00F06F6B">
        <w:rPr>
          <w:rFonts w:ascii="Trebuchet MS" w:hAnsi="Trebuchet MS" w:cs="Arial"/>
          <w:sz w:val="20"/>
          <w:szCs w:val="20"/>
        </w:rPr>
        <w:t>La demande peut intervenir à tout moment dans l’année et n’a pas à être motivée</w:t>
      </w:r>
      <w:r>
        <w:rPr>
          <w:rFonts w:ascii="Trebuchet MS" w:hAnsi="Trebuchet MS" w:cs="Arial"/>
          <w:sz w:val="20"/>
          <w:szCs w:val="20"/>
        </w:rPr>
        <w:t>.</w:t>
      </w:r>
    </w:p>
    <w:p w:rsidR="00F06F6B" w:rsidRDefault="00F06F6B" w:rsidP="00F06F6B">
      <w:pPr>
        <w:jc w:val="both"/>
        <w:rPr>
          <w:rFonts w:ascii="Trebuchet MS" w:hAnsi="Trebuchet MS" w:cs="Arial"/>
          <w:sz w:val="20"/>
          <w:szCs w:val="20"/>
        </w:rPr>
      </w:pPr>
    </w:p>
    <w:p w:rsidR="00F06F6B" w:rsidRDefault="00F06F6B" w:rsidP="00F06F6B">
      <w:pPr>
        <w:jc w:val="both"/>
        <w:rPr>
          <w:rFonts w:ascii="Trebuchet MS" w:hAnsi="Trebuchet MS" w:cs="Arial"/>
          <w:sz w:val="20"/>
          <w:szCs w:val="20"/>
        </w:rPr>
      </w:pPr>
    </w:p>
    <w:p w:rsidR="00F06F6B" w:rsidRPr="00F06F6B" w:rsidRDefault="00F06F6B" w:rsidP="00F06F6B">
      <w:pPr>
        <w:pStyle w:val="Paragraphedeliste"/>
        <w:numPr>
          <w:ilvl w:val="0"/>
          <w:numId w:val="18"/>
        </w:numPr>
        <w:jc w:val="both"/>
        <w:rPr>
          <w:rFonts w:ascii="Trebuchet MS" w:hAnsi="Trebuchet MS" w:cs="Arial"/>
          <w:sz w:val="20"/>
          <w:szCs w:val="20"/>
        </w:rPr>
      </w:pPr>
      <w:r w:rsidRPr="00F06F6B">
        <w:rPr>
          <w:rFonts w:ascii="Trebuchet MS" w:hAnsi="Trebuchet MS" w:cs="Arial"/>
          <w:sz w:val="20"/>
          <w:szCs w:val="20"/>
        </w:rPr>
        <w:t>L’alimentation du CET</w:t>
      </w:r>
    </w:p>
    <w:p w:rsidR="00F06F6B" w:rsidRPr="00F06F6B" w:rsidRDefault="00F06F6B" w:rsidP="00F06F6B">
      <w:pPr>
        <w:pStyle w:val="Paragraphedeliste"/>
        <w:ind w:left="1080"/>
        <w:jc w:val="both"/>
        <w:rPr>
          <w:rFonts w:ascii="Trebuchet MS" w:hAnsi="Trebuchet MS" w:cs="Arial"/>
          <w:sz w:val="20"/>
          <w:szCs w:val="20"/>
        </w:rPr>
      </w:pPr>
    </w:p>
    <w:p w:rsidR="00F06F6B" w:rsidRPr="00F06F6B" w:rsidRDefault="00F06F6B" w:rsidP="00F06F6B">
      <w:pPr>
        <w:jc w:val="both"/>
        <w:rPr>
          <w:rFonts w:ascii="Trebuchet MS" w:hAnsi="Trebuchet MS" w:cs="Arial"/>
          <w:sz w:val="20"/>
          <w:szCs w:val="20"/>
        </w:rPr>
      </w:pPr>
      <w:r w:rsidRPr="00F06F6B">
        <w:rPr>
          <w:rFonts w:ascii="Trebuchet MS" w:hAnsi="Trebuchet MS" w:cs="Arial"/>
          <w:sz w:val="20"/>
          <w:szCs w:val="20"/>
        </w:rPr>
        <w:t>Le CET est alimenté par le report de jours de ARTT et de congés annuels non pris, y compris les jours</w:t>
      </w:r>
    </w:p>
    <w:p w:rsidR="00F06F6B" w:rsidRPr="00F06F6B" w:rsidRDefault="00F06F6B" w:rsidP="00F06F6B">
      <w:pPr>
        <w:jc w:val="both"/>
        <w:rPr>
          <w:rFonts w:ascii="Trebuchet MS" w:hAnsi="Trebuchet MS" w:cs="Arial"/>
          <w:sz w:val="20"/>
          <w:szCs w:val="20"/>
        </w:rPr>
      </w:pPr>
      <w:r w:rsidRPr="00F06F6B">
        <w:rPr>
          <w:rFonts w:ascii="Trebuchet MS" w:hAnsi="Trebuchet MS" w:cs="Arial"/>
          <w:sz w:val="20"/>
          <w:szCs w:val="20"/>
        </w:rPr>
        <w:t>de fractionnement. Les agents doivent toutefois prendre au moins vingt jours de congés payés chaque</w:t>
      </w:r>
    </w:p>
    <w:p w:rsidR="00F06F6B" w:rsidRPr="00F06F6B" w:rsidRDefault="00F06F6B" w:rsidP="00F06F6B">
      <w:pPr>
        <w:jc w:val="both"/>
        <w:rPr>
          <w:rFonts w:ascii="Trebuchet MS" w:hAnsi="Trebuchet MS" w:cs="Arial"/>
          <w:sz w:val="20"/>
          <w:szCs w:val="20"/>
        </w:rPr>
      </w:pPr>
      <w:r w:rsidRPr="00F06F6B">
        <w:rPr>
          <w:rFonts w:ascii="Trebuchet MS" w:hAnsi="Trebuchet MS" w:cs="Arial"/>
          <w:sz w:val="20"/>
          <w:szCs w:val="20"/>
        </w:rPr>
        <w:t>année. En outre, ils ne peuvent alimenter leur CET que dans la limite de trois jours maximum par an.</w:t>
      </w:r>
    </w:p>
    <w:p w:rsidR="00F06F6B" w:rsidRDefault="00F06F6B" w:rsidP="00F06F6B">
      <w:pPr>
        <w:jc w:val="both"/>
        <w:rPr>
          <w:rFonts w:ascii="Trebuchet MS" w:hAnsi="Trebuchet MS" w:cs="Arial"/>
          <w:sz w:val="20"/>
          <w:szCs w:val="20"/>
        </w:rPr>
      </w:pPr>
      <w:r w:rsidRPr="00F06F6B">
        <w:rPr>
          <w:rFonts w:ascii="Trebuchet MS" w:hAnsi="Trebuchet MS" w:cs="Arial"/>
          <w:sz w:val="20"/>
          <w:szCs w:val="20"/>
        </w:rPr>
        <w:t>Le plafond du CET est de vingt jours.</w:t>
      </w:r>
    </w:p>
    <w:p w:rsidR="009A4EB7" w:rsidRPr="00F06F6B" w:rsidRDefault="009A4EB7" w:rsidP="00F06F6B">
      <w:pPr>
        <w:jc w:val="both"/>
        <w:rPr>
          <w:rFonts w:ascii="Trebuchet MS" w:hAnsi="Trebuchet MS" w:cs="Arial"/>
          <w:sz w:val="20"/>
          <w:szCs w:val="20"/>
        </w:rPr>
      </w:pPr>
    </w:p>
    <w:p w:rsidR="00F06F6B" w:rsidRDefault="00F06F6B" w:rsidP="00F06F6B">
      <w:pPr>
        <w:jc w:val="both"/>
        <w:rPr>
          <w:rFonts w:ascii="Trebuchet MS" w:hAnsi="Trebuchet MS" w:cs="Arial"/>
          <w:sz w:val="20"/>
          <w:szCs w:val="20"/>
        </w:rPr>
      </w:pPr>
      <w:r w:rsidRPr="00F06F6B">
        <w:rPr>
          <w:rFonts w:ascii="Trebuchet MS" w:hAnsi="Trebuchet MS" w:cs="Arial"/>
          <w:sz w:val="20"/>
          <w:szCs w:val="20"/>
        </w:rPr>
        <w:t>À noter :</w:t>
      </w:r>
    </w:p>
    <w:p w:rsidR="009A4EB7" w:rsidRPr="00F06F6B" w:rsidRDefault="009A4EB7" w:rsidP="00F06F6B">
      <w:pPr>
        <w:jc w:val="both"/>
        <w:rPr>
          <w:rFonts w:ascii="Trebuchet MS" w:hAnsi="Trebuchet MS" w:cs="Arial"/>
          <w:sz w:val="20"/>
          <w:szCs w:val="20"/>
        </w:rPr>
      </w:pPr>
    </w:p>
    <w:p w:rsidR="00F06F6B" w:rsidRPr="00F06F6B" w:rsidRDefault="00F06F6B" w:rsidP="00F06F6B">
      <w:pPr>
        <w:jc w:val="both"/>
        <w:rPr>
          <w:rFonts w:ascii="Trebuchet MS" w:hAnsi="Trebuchet MS" w:cs="Arial"/>
          <w:sz w:val="20"/>
          <w:szCs w:val="20"/>
        </w:rPr>
      </w:pPr>
      <w:r w:rsidRPr="00F06F6B">
        <w:rPr>
          <w:rFonts w:ascii="Trebuchet MS" w:hAnsi="Trebuchet MS" w:cs="Arial"/>
          <w:sz w:val="20"/>
          <w:szCs w:val="20"/>
        </w:rPr>
        <w:t> En cas de mutation ou de mise à disposition au sein de la fonction publique d'État, l'agent</w:t>
      </w:r>
    </w:p>
    <w:p w:rsidR="00F06F6B" w:rsidRPr="00F06F6B" w:rsidRDefault="00F06F6B" w:rsidP="00F06F6B">
      <w:pPr>
        <w:jc w:val="both"/>
        <w:rPr>
          <w:rFonts w:ascii="Trebuchet MS" w:hAnsi="Trebuchet MS" w:cs="Arial"/>
          <w:sz w:val="20"/>
          <w:szCs w:val="20"/>
        </w:rPr>
      </w:pPr>
      <w:r w:rsidRPr="00F06F6B">
        <w:rPr>
          <w:rFonts w:ascii="Trebuchet MS" w:hAnsi="Trebuchet MS" w:cs="Arial"/>
          <w:sz w:val="20"/>
          <w:szCs w:val="20"/>
        </w:rPr>
        <w:t>conserve le bénéfice de son CET.</w:t>
      </w:r>
    </w:p>
    <w:p w:rsidR="00F06F6B" w:rsidRPr="00F06F6B" w:rsidRDefault="00F06F6B" w:rsidP="00F06F6B">
      <w:pPr>
        <w:jc w:val="both"/>
        <w:rPr>
          <w:rFonts w:ascii="Trebuchet MS" w:hAnsi="Trebuchet MS" w:cs="Arial"/>
          <w:sz w:val="20"/>
          <w:szCs w:val="20"/>
        </w:rPr>
      </w:pPr>
      <w:r w:rsidRPr="00F06F6B">
        <w:rPr>
          <w:rFonts w:ascii="Trebuchet MS" w:hAnsi="Trebuchet MS" w:cs="Arial"/>
          <w:sz w:val="20"/>
          <w:szCs w:val="20"/>
        </w:rPr>
        <w:t> En cas de décès d'un agent titulaire d'un CET, ses ayants droits bénéficient d'une indemnisation</w:t>
      </w:r>
    </w:p>
    <w:p w:rsidR="00F06F6B" w:rsidRDefault="00F06F6B" w:rsidP="00F06F6B">
      <w:pPr>
        <w:jc w:val="both"/>
        <w:rPr>
          <w:rFonts w:ascii="Trebuchet MS" w:hAnsi="Trebuchet MS" w:cs="Arial"/>
          <w:sz w:val="20"/>
          <w:szCs w:val="20"/>
        </w:rPr>
      </w:pPr>
      <w:proofErr w:type="gramStart"/>
      <w:r w:rsidRPr="00F06F6B">
        <w:rPr>
          <w:rFonts w:ascii="Trebuchet MS" w:hAnsi="Trebuchet MS" w:cs="Arial"/>
          <w:sz w:val="20"/>
          <w:szCs w:val="20"/>
        </w:rPr>
        <w:t>au</w:t>
      </w:r>
      <w:proofErr w:type="gramEnd"/>
      <w:r w:rsidRPr="00F06F6B">
        <w:rPr>
          <w:rFonts w:ascii="Trebuchet MS" w:hAnsi="Trebuchet MS" w:cs="Arial"/>
          <w:sz w:val="20"/>
          <w:szCs w:val="20"/>
        </w:rPr>
        <w:t xml:space="preserve"> titre des droits à congés qu'il avait acquis.</w:t>
      </w:r>
    </w:p>
    <w:p w:rsidR="009A4EB7" w:rsidRDefault="009A4EB7" w:rsidP="00F06F6B">
      <w:pPr>
        <w:jc w:val="both"/>
        <w:rPr>
          <w:rFonts w:ascii="Trebuchet MS" w:hAnsi="Trebuchet MS" w:cs="Arial"/>
          <w:sz w:val="20"/>
          <w:szCs w:val="20"/>
        </w:rPr>
      </w:pPr>
    </w:p>
    <w:p w:rsidR="009A4EB7" w:rsidRPr="00F06F6B" w:rsidRDefault="009A4EB7" w:rsidP="00F06F6B">
      <w:pPr>
        <w:jc w:val="both"/>
        <w:rPr>
          <w:rFonts w:ascii="Trebuchet MS" w:hAnsi="Trebuchet MS" w:cs="Arial"/>
          <w:sz w:val="20"/>
          <w:szCs w:val="20"/>
        </w:rPr>
      </w:pPr>
    </w:p>
    <w:p w:rsidR="00F06F6B" w:rsidRPr="009A4EB7" w:rsidRDefault="00F06F6B" w:rsidP="009A4EB7">
      <w:pPr>
        <w:pStyle w:val="Paragraphedeliste"/>
        <w:numPr>
          <w:ilvl w:val="0"/>
          <w:numId w:val="18"/>
        </w:numPr>
        <w:jc w:val="both"/>
        <w:rPr>
          <w:rFonts w:ascii="Trebuchet MS" w:hAnsi="Trebuchet MS" w:cs="Arial"/>
          <w:sz w:val="20"/>
          <w:szCs w:val="20"/>
        </w:rPr>
      </w:pPr>
      <w:r w:rsidRPr="009A4EB7">
        <w:rPr>
          <w:rFonts w:ascii="Trebuchet MS" w:hAnsi="Trebuchet MS" w:cs="Arial"/>
          <w:sz w:val="20"/>
          <w:szCs w:val="20"/>
        </w:rPr>
        <w:t>Les modalités d’utilisation du CET</w:t>
      </w:r>
    </w:p>
    <w:p w:rsidR="009A4EB7" w:rsidRPr="009A4EB7" w:rsidRDefault="009A4EB7" w:rsidP="009A4EB7">
      <w:pPr>
        <w:pStyle w:val="Paragraphedeliste"/>
        <w:ind w:left="1080"/>
        <w:jc w:val="both"/>
        <w:rPr>
          <w:rFonts w:ascii="Trebuchet MS" w:hAnsi="Trebuchet MS" w:cs="Arial"/>
          <w:sz w:val="20"/>
          <w:szCs w:val="20"/>
        </w:rPr>
      </w:pPr>
    </w:p>
    <w:p w:rsidR="00F06F6B" w:rsidRPr="00F06F6B" w:rsidRDefault="00F06F6B" w:rsidP="00F06F6B">
      <w:pPr>
        <w:jc w:val="both"/>
        <w:rPr>
          <w:rFonts w:ascii="Trebuchet MS" w:hAnsi="Trebuchet MS" w:cs="Arial"/>
          <w:sz w:val="20"/>
          <w:szCs w:val="20"/>
        </w:rPr>
      </w:pPr>
      <w:r w:rsidRPr="00F06F6B">
        <w:rPr>
          <w:rFonts w:ascii="Trebuchet MS" w:hAnsi="Trebuchet MS" w:cs="Arial"/>
          <w:sz w:val="20"/>
          <w:szCs w:val="20"/>
        </w:rPr>
        <w:t>La demande d’alimentation est effectuée via le logiciel de gestion des congés.</w:t>
      </w:r>
    </w:p>
    <w:p w:rsidR="00F06F6B" w:rsidRPr="00F06F6B" w:rsidRDefault="00F06F6B" w:rsidP="00F06F6B">
      <w:pPr>
        <w:jc w:val="both"/>
        <w:rPr>
          <w:rFonts w:ascii="Trebuchet MS" w:hAnsi="Trebuchet MS" w:cs="Arial"/>
          <w:sz w:val="20"/>
          <w:szCs w:val="20"/>
        </w:rPr>
      </w:pPr>
      <w:r w:rsidRPr="00F06F6B">
        <w:rPr>
          <w:rFonts w:ascii="Trebuchet MS" w:hAnsi="Trebuchet MS" w:cs="Arial"/>
          <w:sz w:val="20"/>
          <w:szCs w:val="20"/>
        </w:rPr>
        <w:t>La consommation est permise dès le premier jour épargné sur le CET et il est possible de prendre un</w:t>
      </w:r>
    </w:p>
    <w:p w:rsidR="00F06F6B" w:rsidRDefault="00F06F6B" w:rsidP="00F06F6B">
      <w:pPr>
        <w:jc w:val="both"/>
        <w:rPr>
          <w:rFonts w:ascii="Trebuchet MS" w:hAnsi="Trebuchet MS" w:cs="Arial"/>
          <w:sz w:val="20"/>
          <w:szCs w:val="20"/>
        </w:rPr>
      </w:pPr>
      <w:proofErr w:type="gramStart"/>
      <w:r w:rsidRPr="00F06F6B">
        <w:rPr>
          <w:rFonts w:ascii="Trebuchet MS" w:hAnsi="Trebuchet MS" w:cs="Arial"/>
          <w:sz w:val="20"/>
          <w:szCs w:val="20"/>
        </w:rPr>
        <w:t>seul</w:t>
      </w:r>
      <w:proofErr w:type="gramEnd"/>
      <w:r w:rsidRPr="00F06F6B">
        <w:rPr>
          <w:rFonts w:ascii="Trebuchet MS" w:hAnsi="Trebuchet MS" w:cs="Arial"/>
          <w:sz w:val="20"/>
          <w:szCs w:val="20"/>
        </w:rPr>
        <w:t xml:space="preserve"> jour. Les jours déposés peuvent être utilisés sans limite dans le temps.</w:t>
      </w:r>
    </w:p>
    <w:p w:rsidR="009A4EB7" w:rsidRPr="00F06F6B" w:rsidRDefault="009A4EB7" w:rsidP="00F06F6B">
      <w:pPr>
        <w:jc w:val="both"/>
        <w:rPr>
          <w:rFonts w:ascii="Trebuchet MS" w:hAnsi="Trebuchet MS" w:cs="Arial"/>
          <w:sz w:val="20"/>
          <w:szCs w:val="20"/>
        </w:rPr>
      </w:pPr>
    </w:p>
    <w:p w:rsidR="00F06F6B" w:rsidRPr="00F06F6B" w:rsidRDefault="00F06F6B" w:rsidP="00F06F6B">
      <w:pPr>
        <w:jc w:val="both"/>
        <w:rPr>
          <w:rFonts w:ascii="Trebuchet MS" w:hAnsi="Trebuchet MS" w:cs="Arial"/>
          <w:sz w:val="20"/>
          <w:szCs w:val="20"/>
        </w:rPr>
      </w:pPr>
      <w:r w:rsidRPr="00F06F6B">
        <w:rPr>
          <w:rFonts w:ascii="Trebuchet MS" w:hAnsi="Trebuchet MS" w:cs="Arial"/>
          <w:sz w:val="20"/>
          <w:szCs w:val="20"/>
        </w:rPr>
        <w:t xml:space="preserve">Les </w:t>
      </w:r>
      <w:r w:rsidR="00FD4D2F">
        <w:rPr>
          <w:rFonts w:ascii="Trebuchet MS" w:hAnsi="Trebuchet MS" w:cs="Arial"/>
          <w:sz w:val="20"/>
          <w:szCs w:val="20"/>
        </w:rPr>
        <w:t>20</w:t>
      </w:r>
      <w:r w:rsidRPr="00F06F6B">
        <w:rPr>
          <w:rFonts w:ascii="Trebuchet MS" w:hAnsi="Trebuchet MS" w:cs="Arial"/>
          <w:sz w:val="20"/>
          <w:szCs w:val="20"/>
        </w:rPr>
        <w:t xml:space="preserve"> premiers jours épargnés doivent être utilisés sous forme de congés. Au-delà du plafond de</w:t>
      </w:r>
    </w:p>
    <w:p w:rsidR="00F06F6B" w:rsidRPr="00F06F6B" w:rsidRDefault="00FD4D2F" w:rsidP="00F06F6B">
      <w:pPr>
        <w:jc w:val="both"/>
        <w:rPr>
          <w:rFonts w:ascii="Trebuchet MS" w:hAnsi="Trebuchet MS" w:cs="Arial"/>
          <w:sz w:val="20"/>
          <w:szCs w:val="20"/>
        </w:rPr>
      </w:pPr>
      <w:r>
        <w:rPr>
          <w:rFonts w:ascii="Trebuchet MS" w:hAnsi="Trebuchet MS" w:cs="Arial"/>
          <w:sz w:val="20"/>
          <w:szCs w:val="20"/>
        </w:rPr>
        <w:t>20</w:t>
      </w:r>
      <w:r w:rsidR="00F06F6B" w:rsidRPr="00F06F6B">
        <w:rPr>
          <w:rFonts w:ascii="Trebuchet MS" w:hAnsi="Trebuchet MS" w:cs="Arial"/>
          <w:sz w:val="20"/>
          <w:szCs w:val="20"/>
        </w:rPr>
        <w:t xml:space="preserve"> jours, les jours de ARTT ou de congés qui n’ont pas été pris</w:t>
      </w:r>
      <w:r>
        <w:rPr>
          <w:rFonts w:ascii="Trebuchet MS" w:hAnsi="Trebuchet MS" w:cs="Arial"/>
          <w:sz w:val="20"/>
          <w:szCs w:val="20"/>
        </w:rPr>
        <w:t>, peuvent</w:t>
      </w:r>
      <w:r w:rsidR="00F06F6B" w:rsidRPr="00F06F6B">
        <w:rPr>
          <w:rFonts w:ascii="Trebuchet MS" w:hAnsi="Trebuchet MS" w:cs="Arial"/>
          <w:sz w:val="20"/>
          <w:szCs w:val="20"/>
        </w:rPr>
        <w:t xml:space="preserve"> au choix de l’agent, soit être</w:t>
      </w:r>
    </w:p>
    <w:p w:rsidR="00F06F6B" w:rsidRPr="00F06F6B" w:rsidRDefault="00F06F6B" w:rsidP="00F06F6B">
      <w:pPr>
        <w:jc w:val="both"/>
        <w:rPr>
          <w:rFonts w:ascii="Trebuchet MS" w:hAnsi="Trebuchet MS" w:cs="Arial"/>
          <w:sz w:val="20"/>
          <w:szCs w:val="20"/>
        </w:rPr>
      </w:pPr>
      <w:proofErr w:type="gramStart"/>
      <w:r w:rsidRPr="00F06F6B">
        <w:rPr>
          <w:rFonts w:ascii="Trebuchet MS" w:hAnsi="Trebuchet MS" w:cs="Arial"/>
          <w:sz w:val="20"/>
          <w:szCs w:val="20"/>
        </w:rPr>
        <w:t>déposés</w:t>
      </w:r>
      <w:proofErr w:type="gramEnd"/>
      <w:r w:rsidRPr="00F06F6B">
        <w:rPr>
          <w:rFonts w:ascii="Trebuchet MS" w:hAnsi="Trebuchet MS" w:cs="Arial"/>
          <w:sz w:val="20"/>
          <w:szCs w:val="20"/>
        </w:rPr>
        <w:t xml:space="preserve"> sur le CET (dans la limite du plafond de 20 jours), soit faire l’objet d’une indemnisation</w:t>
      </w:r>
      <w:r w:rsidR="00FD4D2F">
        <w:rPr>
          <w:rFonts w:ascii="Trebuchet MS" w:hAnsi="Trebuchet MS" w:cs="Arial"/>
          <w:sz w:val="20"/>
          <w:szCs w:val="20"/>
        </w:rPr>
        <w:t xml:space="preserve"> dans la limite de 3 jours</w:t>
      </w:r>
      <w:r w:rsidRPr="00F06F6B">
        <w:rPr>
          <w:rFonts w:ascii="Trebuchet MS" w:hAnsi="Trebuchet MS" w:cs="Arial"/>
          <w:sz w:val="20"/>
          <w:szCs w:val="20"/>
        </w:rPr>
        <w:t>.</w:t>
      </w:r>
      <w:r w:rsidR="00FD4D2F">
        <w:rPr>
          <w:rFonts w:ascii="Trebuchet MS" w:hAnsi="Trebuchet MS" w:cs="Arial"/>
          <w:sz w:val="20"/>
          <w:szCs w:val="20"/>
        </w:rPr>
        <w:t xml:space="preserve"> Cette indemnisation s’effectue sur le mois de paie de janvier de chaque année.</w:t>
      </w:r>
    </w:p>
    <w:p w:rsidR="00FD4D2F" w:rsidRDefault="00FD4D2F" w:rsidP="00F06F6B">
      <w:pPr>
        <w:jc w:val="both"/>
        <w:rPr>
          <w:rFonts w:ascii="Trebuchet MS" w:hAnsi="Trebuchet MS" w:cs="Arial"/>
          <w:sz w:val="20"/>
          <w:szCs w:val="20"/>
        </w:rPr>
      </w:pPr>
    </w:p>
    <w:p w:rsidR="00F06F6B" w:rsidRDefault="00F06F6B" w:rsidP="00F06F6B">
      <w:pPr>
        <w:jc w:val="both"/>
        <w:rPr>
          <w:rFonts w:ascii="Trebuchet MS" w:hAnsi="Trebuchet MS" w:cs="Arial"/>
          <w:sz w:val="20"/>
          <w:szCs w:val="20"/>
        </w:rPr>
      </w:pPr>
      <w:r w:rsidRPr="00F06F6B">
        <w:rPr>
          <w:rFonts w:ascii="Trebuchet MS" w:hAnsi="Trebuchet MS" w:cs="Arial"/>
          <w:sz w:val="20"/>
          <w:szCs w:val="20"/>
        </w:rPr>
        <w:t>Les montants journaliers sont forfaitaires et définis par</w:t>
      </w:r>
      <w:r w:rsidR="009A4EB7">
        <w:rPr>
          <w:rFonts w:ascii="Trebuchet MS" w:hAnsi="Trebuchet MS" w:cs="Arial"/>
          <w:sz w:val="20"/>
          <w:szCs w:val="20"/>
        </w:rPr>
        <w:t xml:space="preserve"> catégorie d’emplois assimilée</w:t>
      </w:r>
      <w:r w:rsidRPr="00F06F6B">
        <w:rPr>
          <w:rFonts w:ascii="Trebuchet MS" w:hAnsi="Trebuchet MS" w:cs="Arial"/>
          <w:sz w:val="20"/>
          <w:szCs w:val="20"/>
        </w:rPr>
        <w:t xml:space="preserve"> :</w:t>
      </w:r>
    </w:p>
    <w:p w:rsidR="009A4EB7" w:rsidRPr="00F06F6B" w:rsidRDefault="009A4EB7" w:rsidP="00F06F6B">
      <w:pPr>
        <w:jc w:val="both"/>
        <w:rPr>
          <w:rFonts w:ascii="Trebuchet MS" w:hAnsi="Trebuchet MS" w:cs="Arial"/>
          <w:sz w:val="20"/>
          <w:szCs w:val="20"/>
        </w:rPr>
      </w:pPr>
    </w:p>
    <w:p w:rsidR="00F06F6B" w:rsidRPr="00F06F6B" w:rsidRDefault="00F06F6B" w:rsidP="00FD4D2F">
      <w:pPr>
        <w:ind w:firstLine="708"/>
        <w:jc w:val="center"/>
        <w:rPr>
          <w:rFonts w:ascii="Trebuchet MS" w:hAnsi="Trebuchet MS" w:cs="Arial"/>
          <w:sz w:val="20"/>
          <w:szCs w:val="20"/>
        </w:rPr>
      </w:pPr>
      <w:r w:rsidRPr="00F06F6B">
        <w:rPr>
          <w:rFonts w:ascii="Trebuchet MS" w:hAnsi="Trebuchet MS" w:cs="Arial"/>
          <w:sz w:val="20"/>
          <w:szCs w:val="20"/>
        </w:rPr>
        <w:t> Catégorie A : 150 €</w:t>
      </w:r>
    </w:p>
    <w:p w:rsidR="00F06F6B" w:rsidRPr="00F06F6B" w:rsidRDefault="00F06F6B" w:rsidP="00FD4D2F">
      <w:pPr>
        <w:ind w:firstLine="708"/>
        <w:jc w:val="center"/>
        <w:rPr>
          <w:rFonts w:ascii="Trebuchet MS" w:hAnsi="Trebuchet MS" w:cs="Arial"/>
          <w:sz w:val="20"/>
          <w:szCs w:val="20"/>
        </w:rPr>
      </w:pPr>
      <w:r w:rsidRPr="00F06F6B">
        <w:rPr>
          <w:rFonts w:ascii="Trebuchet MS" w:hAnsi="Trebuchet MS" w:cs="Arial"/>
          <w:sz w:val="20"/>
          <w:szCs w:val="20"/>
        </w:rPr>
        <w:t> Catégorie B : 100 €</w:t>
      </w:r>
    </w:p>
    <w:p w:rsidR="00F06F6B" w:rsidRPr="00F06F6B" w:rsidRDefault="00F06F6B" w:rsidP="00FD4D2F">
      <w:pPr>
        <w:ind w:firstLine="708"/>
        <w:jc w:val="center"/>
        <w:rPr>
          <w:rFonts w:ascii="Trebuchet MS" w:hAnsi="Trebuchet MS" w:cs="Arial"/>
          <w:sz w:val="20"/>
          <w:szCs w:val="20"/>
        </w:rPr>
      </w:pPr>
      <w:r w:rsidRPr="00F06F6B">
        <w:rPr>
          <w:rFonts w:ascii="Trebuchet MS" w:hAnsi="Trebuchet MS" w:cs="Arial"/>
          <w:sz w:val="20"/>
          <w:szCs w:val="20"/>
        </w:rPr>
        <w:t> Catégorie C : 83 €</w:t>
      </w:r>
    </w:p>
    <w:p w:rsidR="00F06F6B" w:rsidRPr="00F06F6B" w:rsidRDefault="00F06F6B" w:rsidP="00F06F6B">
      <w:pPr>
        <w:jc w:val="both"/>
        <w:rPr>
          <w:rFonts w:ascii="Trebuchet MS" w:hAnsi="Trebuchet MS" w:cs="Arial"/>
          <w:sz w:val="20"/>
          <w:szCs w:val="20"/>
        </w:rPr>
      </w:pPr>
      <w:bookmarkStart w:id="0" w:name="_GoBack"/>
      <w:bookmarkEnd w:id="0"/>
    </w:p>
    <w:p w:rsidR="00F06F6B" w:rsidRDefault="00F06F6B">
      <w:pPr>
        <w:jc w:val="both"/>
        <w:rPr>
          <w:rFonts w:ascii="Trebuchet MS" w:hAnsi="Trebuchet MS" w:cs="Arial"/>
          <w:sz w:val="20"/>
          <w:szCs w:val="20"/>
        </w:rPr>
      </w:pPr>
    </w:p>
    <w:sectPr w:rsidR="00F06F6B" w:rsidSect="00E0712E">
      <w:headerReference w:type="even" r:id="rId11"/>
      <w:headerReference w:type="default" r:id="rId12"/>
      <w:footerReference w:type="even" r:id="rId13"/>
      <w:footerReference w:type="default" r:id="rId14"/>
      <w:headerReference w:type="first" r:id="rId15"/>
      <w:footerReference w:type="first" r:id="rId16"/>
      <w:pgSz w:w="11900" w:h="16840"/>
      <w:pgMar w:top="567" w:right="1701" w:bottom="851" w:left="1134" w:header="0" w:footer="3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D13" w:rsidRDefault="00963D13" w:rsidP="00963D13">
      <w:r>
        <w:separator/>
      </w:r>
    </w:p>
  </w:endnote>
  <w:endnote w:type="continuationSeparator" w:id="0">
    <w:p w:rsidR="00963D13" w:rsidRDefault="00963D13" w:rsidP="00963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EB7" w:rsidRDefault="009A4EB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EB7" w:rsidRDefault="009A4EB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532"/>
      <w:docPartObj>
        <w:docPartGallery w:val="Page Numbers (Bottom of Page)"/>
        <w:docPartUnique/>
      </w:docPartObj>
    </w:sdtPr>
    <w:sdtEndPr/>
    <w:sdtContent>
      <w:p w:rsidR="00963D13" w:rsidRDefault="00643FF2">
        <w:pPr>
          <w:pStyle w:val="Pieddepage"/>
          <w:jc w:val="right"/>
        </w:pPr>
        <w:r>
          <w:fldChar w:fldCharType="begin"/>
        </w:r>
        <w:r>
          <w:instrText xml:space="preserve"> PAGE   \* MERGEFORMAT </w:instrText>
        </w:r>
        <w:r>
          <w:fldChar w:fldCharType="separate"/>
        </w:r>
        <w:r w:rsidR="00FD4D2F">
          <w:rPr>
            <w:noProof/>
          </w:rPr>
          <w:t>1</w:t>
        </w:r>
        <w:r>
          <w:rPr>
            <w:noProof/>
          </w:rPr>
          <w:fldChar w:fldCharType="end"/>
        </w:r>
      </w:p>
    </w:sdtContent>
  </w:sdt>
  <w:p w:rsidR="00963D13" w:rsidRPr="00E0712E" w:rsidRDefault="00963D13">
    <w:pPr>
      <w:pStyle w:val="Pieddepage"/>
      <w:rPr>
        <w:rFonts w:ascii="Trebuchet MS" w:hAnsi="Trebuchet MS"/>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D13" w:rsidRDefault="00963D13" w:rsidP="00963D13">
      <w:r>
        <w:separator/>
      </w:r>
    </w:p>
  </w:footnote>
  <w:footnote w:type="continuationSeparator" w:id="0">
    <w:p w:rsidR="00963D13" w:rsidRDefault="00963D13" w:rsidP="00963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EB7" w:rsidRDefault="009A4EB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EB7" w:rsidRDefault="009A4EB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EB7" w:rsidRDefault="009A4EB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71"/>
      </v:shape>
    </w:pict>
  </w:numPicBullet>
  <w:abstractNum w:abstractNumId="0" w15:restartNumberingAfterBreak="0">
    <w:nsid w:val="01693D06"/>
    <w:multiLevelType w:val="hybridMultilevel"/>
    <w:tmpl w:val="A15826E0"/>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F762E"/>
    <w:multiLevelType w:val="hybridMultilevel"/>
    <w:tmpl w:val="A518367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 w15:restartNumberingAfterBreak="0">
    <w:nsid w:val="0D982AD4"/>
    <w:multiLevelType w:val="hybridMultilevel"/>
    <w:tmpl w:val="AEE4D5D2"/>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E613F87"/>
    <w:multiLevelType w:val="hybridMultilevel"/>
    <w:tmpl w:val="58CABF16"/>
    <w:lvl w:ilvl="0" w:tplc="26CE088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FB0BA1"/>
    <w:multiLevelType w:val="hybridMultilevel"/>
    <w:tmpl w:val="380A29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6A1232A"/>
    <w:multiLevelType w:val="hybridMultilevel"/>
    <w:tmpl w:val="7062C592"/>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845C39"/>
    <w:multiLevelType w:val="hybridMultilevel"/>
    <w:tmpl w:val="8B04B0F6"/>
    <w:lvl w:ilvl="0" w:tplc="040C0007">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A663FA3"/>
    <w:multiLevelType w:val="hybridMultilevel"/>
    <w:tmpl w:val="135AC57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320D6A43"/>
    <w:multiLevelType w:val="hybridMultilevel"/>
    <w:tmpl w:val="D9922E04"/>
    <w:lvl w:ilvl="0" w:tplc="040C000F">
      <w:start w:val="1"/>
      <w:numFmt w:val="decimal"/>
      <w:lvlText w:val="%1."/>
      <w:lvlJc w:val="left"/>
      <w:pPr>
        <w:tabs>
          <w:tab w:val="num" w:pos="502"/>
        </w:tabs>
        <w:ind w:left="502" w:hanging="360"/>
      </w:pPr>
      <w:rPr>
        <w:rFonts w:hint="default"/>
      </w:rPr>
    </w:lvl>
    <w:lvl w:ilvl="1" w:tplc="040C0007">
      <w:start w:val="1"/>
      <w:numFmt w:val="bullet"/>
      <w:lvlText w:val=""/>
      <w:lvlPicBulletId w:val="0"/>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33C8453F"/>
    <w:multiLevelType w:val="hybridMultilevel"/>
    <w:tmpl w:val="25A8E042"/>
    <w:lvl w:ilvl="0" w:tplc="040C000F">
      <w:start w:val="1"/>
      <w:numFmt w:val="decimal"/>
      <w:lvlText w:val="%1."/>
      <w:lvlJc w:val="left"/>
      <w:pPr>
        <w:tabs>
          <w:tab w:val="num" w:pos="720"/>
        </w:tabs>
        <w:ind w:left="720" w:hanging="360"/>
      </w:pPr>
      <w:rPr>
        <w:rFonts w:hint="default"/>
      </w:rPr>
    </w:lvl>
    <w:lvl w:ilvl="1" w:tplc="040C0007">
      <w:start w:val="1"/>
      <w:numFmt w:val="bullet"/>
      <w:lvlText w:val=""/>
      <w:lvlPicBulletId w:val="0"/>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393974E7"/>
    <w:multiLevelType w:val="hybridMultilevel"/>
    <w:tmpl w:val="C4A43E38"/>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1" w15:restartNumberingAfterBreak="0">
    <w:nsid w:val="3D756BF9"/>
    <w:multiLevelType w:val="multilevel"/>
    <w:tmpl w:val="EDBC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05309B"/>
    <w:multiLevelType w:val="hybridMultilevel"/>
    <w:tmpl w:val="84FE6AB2"/>
    <w:lvl w:ilvl="0" w:tplc="040C0007">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A5B6F43"/>
    <w:multiLevelType w:val="hybridMultilevel"/>
    <w:tmpl w:val="BD8AFDE0"/>
    <w:lvl w:ilvl="0" w:tplc="040C0007">
      <w:start w:val="1"/>
      <w:numFmt w:val="bullet"/>
      <w:lvlText w:val=""/>
      <w:lvlPicBulletId w:val="0"/>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DD54788"/>
    <w:multiLevelType w:val="hybridMultilevel"/>
    <w:tmpl w:val="D85A852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79A4542F"/>
    <w:multiLevelType w:val="hybridMultilevel"/>
    <w:tmpl w:val="044AEE4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6" w15:restartNumberingAfterBreak="0">
    <w:nsid w:val="7D9167AB"/>
    <w:multiLevelType w:val="hybridMultilevel"/>
    <w:tmpl w:val="6088C35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7EB701F7"/>
    <w:multiLevelType w:val="hybridMultilevel"/>
    <w:tmpl w:val="1F3825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6"/>
  </w:num>
  <w:num w:numId="5">
    <w:abstractNumId w:val="9"/>
  </w:num>
  <w:num w:numId="6">
    <w:abstractNumId w:val="12"/>
  </w:num>
  <w:num w:numId="7">
    <w:abstractNumId w:val="13"/>
  </w:num>
  <w:num w:numId="8">
    <w:abstractNumId w:val="4"/>
  </w:num>
  <w:num w:numId="9">
    <w:abstractNumId w:val="15"/>
  </w:num>
  <w:num w:numId="10">
    <w:abstractNumId w:val="2"/>
  </w:num>
  <w:num w:numId="11">
    <w:abstractNumId w:val="1"/>
  </w:num>
  <w:num w:numId="12">
    <w:abstractNumId w:val="16"/>
  </w:num>
  <w:num w:numId="13">
    <w:abstractNumId w:val="17"/>
  </w:num>
  <w:num w:numId="14">
    <w:abstractNumId w:val="7"/>
  </w:num>
  <w:num w:numId="15">
    <w:abstractNumId w:val="14"/>
  </w:num>
  <w:num w:numId="16">
    <w:abstractNumId w:val="10"/>
  </w:num>
  <w:num w:numId="17">
    <w:abstractNumId w:val="1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53B"/>
    <w:rsid w:val="0002177B"/>
    <w:rsid w:val="00022892"/>
    <w:rsid w:val="000356C6"/>
    <w:rsid w:val="00042407"/>
    <w:rsid w:val="00081169"/>
    <w:rsid w:val="000F52B4"/>
    <w:rsid w:val="001579DB"/>
    <w:rsid w:val="001A188A"/>
    <w:rsid w:val="00291B71"/>
    <w:rsid w:val="00315279"/>
    <w:rsid w:val="00363E2C"/>
    <w:rsid w:val="00392268"/>
    <w:rsid w:val="003B2608"/>
    <w:rsid w:val="003D29F4"/>
    <w:rsid w:val="00502C60"/>
    <w:rsid w:val="005872D2"/>
    <w:rsid w:val="00595705"/>
    <w:rsid w:val="005C3160"/>
    <w:rsid w:val="00643FF2"/>
    <w:rsid w:val="006604D4"/>
    <w:rsid w:val="006A62D3"/>
    <w:rsid w:val="006C478B"/>
    <w:rsid w:val="0071053B"/>
    <w:rsid w:val="00762C9B"/>
    <w:rsid w:val="007B2D92"/>
    <w:rsid w:val="00885DC5"/>
    <w:rsid w:val="00963D13"/>
    <w:rsid w:val="009A4EB7"/>
    <w:rsid w:val="009E3E00"/>
    <w:rsid w:val="00AC6D67"/>
    <w:rsid w:val="00B90633"/>
    <w:rsid w:val="00C65CEF"/>
    <w:rsid w:val="00C91255"/>
    <w:rsid w:val="00E0712E"/>
    <w:rsid w:val="00EF7B5A"/>
    <w:rsid w:val="00F06F6B"/>
    <w:rsid w:val="00F330FB"/>
    <w:rsid w:val="00FD4D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8297D"/>
  <w15:docId w15:val="{CC04F901-FB2B-4B3A-A0ED-88EDB9DC7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53B"/>
    <w:pPr>
      <w:spacing w:after="0" w:line="240" w:lineRule="auto"/>
    </w:pPr>
    <w:rPr>
      <w:rFonts w:ascii="Cambria" w:eastAsia="Cambria" w:hAnsi="Cambria"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1053B"/>
    <w:pPr>
      <w:ind w:left="720"/>
      <w:contextualSpacing/>
    </w:pPr>
  </w:style>
  <w:style w:type="paragraph" w:styleId="Textedebulles">
    <w:name w:val="Balloon Text"/>
    <w:basedOn w:val="Normal"/>
    <w:link w:val="TextedebullesCar"/>
    <w:uiPriority w:val="99"/>
    <w:semiHidden/>
    <w:unhideWhenUsed/>
    <w:rsid w:val="00963D13"/>
    <w:rPr>
      <w:rFonts w:ascii="Tahoma" w:hAnsi="Tahoma" w:cs="Tahoma"/>
      <w:sz w:val="16"/>
      <w:szCs w:val="16"/>
    </w:rPr>
  </w:style>
  <w:style w:type="character" w:customStyle="1" w:styleId="TextedebullesCar">
    <w:name w:val="Texte de bulles Car"/>
    <w:basedOn w:val="Policepardfaut"/>
    <w:link w:val="Textedebulles"/>
    <w:uiPriority w:val="99"/>
    <w:semiHidden/>
    <w:rsid w:val="00963D13"/>
    <w:rPr>
      <w:rFonts w:ascii="Tahoma" w:eastAsia="Cambria" w:hAnsi="Tahoma" w:cs="Tahoma"/>
      <w:sz w:val="16"/>
      <w:szCs w:val="16"/>
    </w:rPr>
  </w:style>
  <w:style w:type="paragraph" w:styleId="En-tte">
    <w:name w:val="header"/>
    <w:basedOn w:val="Normal"/>
    <w:link w:val="En-tteCar"/>
    <w:uiPriority w:val="99"/>
    <w:unhideWhenUsed/>
    <w:rsid w:val="00963D13"/>
    <w:pPr>
      <w:tabs>
        <w:tab w:val="center" w:pos="4536"/>
        <w:tab w:val="right" w:pos="9072"/>
      </w:tabs>
    </w:pPr>
  </w:style>
  <w:style w:type="character" w:customStyle="1" w:styleId="En-tteCar">
    <w:name w:val="En-tête Car"/>
    <w:basedOn w:val="Policepardfaut"/>
    <w:link w:val="En-tte"/>
    <w:uiPriority w:val="99"/>
    <w:rsid w:val="00963D13"/>
    <w:rPr>
      <w:rFonts w:ascii="Cambria" w:eastAsia="Cambria" w:hAnsi="Cambria" w:cs="Times New Roman"/>
      <w:sz w:val="24"/>
      <w:szCs w:val="24"/>
    </w:rPr>
  </w:style>
  <w:style w:type="paragraph" w:styleId="Pieddepage">
    <w:name w:val="footer"/>
    <w:basedOn w:val="Normal"/>
    <w:link w:val="PieddepageCar"/>
    <w:uiPriority w:val="99"/>
    <w:unhideWhenUsed/>
    <w:rsid w:val="00963D13"/>
    <w:pPr>
      <w:tabs>
        <w:tab w:val="center" w:pos="4536"/>
        <w:tab w:val="right" w:pos="9072"/>
      </w:tabs>
    </w:pPr>
  </w:style>
  <w:style w:type="character" w:customStyle="1" w:styleId="PieddepageCar">
    <w:name w:val="Pied de page Car"/>
    <w:basedOn w:val="Policepardfaut"/>
    <w:link w:val="Pieddepage"/>
    <w:uiPriority w:val="99"/>
    <w:rsid w:val="00963D13"/>
    <w:rPr>
      <w:rFonts w:ascii="Cambria" w:eastAsia="Cambria" w:hAnsi="Cambria" w:cs="Times New Roman"/>
      <w:sz w:val="24"/>
      <w:szCs w:val="24"/>
    </w:rPr>
  </w:style>
  <w:style w:type="paragraph" w:styleId="NormalWeb">
    <w:name w:val="Normal (Web)"/>
    <w:basedOn w:val="Normal"/>
    <w:uiPriority w:val="99"/>
    <w:semiHidden/>
    <w:unhideWhenUsed/>
    <w:rsid w:val="00291B71"/>
    <w:pPr>
      <w:spacing w:before="100" w:beforeAutospacing="1" w:after="100" w:afterAutospacing="1"/>
    </w:pPr>
    <w:rPr>
      <w:rFonts w:ascii="Times New Roman" w:eastAsia="Times New Roman" w:hAnsi="Times New Roman"/>
      <w:lang w:eastAsia="fr-FR"/>
    </w:rPr>
  </w:style>
  <w:style w:type="character" w:styleId="lev">
    <w:name w:val="Strong"/>
    <w:basedOn w:val="Policepardfaut"/>
    <w:uiPriority w:val="22"/>
    <w:qFormat/>
    <w:rsid w:val="00291B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71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1895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MNE</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Mentfakh Linda</dc:creator>
  <cp:lastModifiedBy>Sylvia Fehrentz</cp:lastModifiedBy>
  <cp:revision>2</cp:revision>
  <cp:lastPrinted>2009-12-30T14:08:00Z</cp:lastPrinted>
  <dcterms:created xsi:type="dcterms:W3CDTF">2025-06-20T14:48:00Z</dcterms:created>
  <dcterms:modified xsi:type="dcterms:W3CDTF">2025-06-20T14:48:00Z</dcterms:modified>
</cp:coreProperties>
</file>